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0A" w:rsidRPr="0088760A" w:rsidRDefault="0088760A" w:rsidP="0088760A">
      <w:pPr>
        <w:pStyle w:val="a5"/>
        <w:shd w:val="clear" w:color="auto" w:fill="FFFFFF"/>
        <w:jc w:val="center"/>
        <w:rPr>
          <w:color w:val="000000"/>
          <w:sz w:val="52"/>
          <w:szCs w:val="52"/>
        </w:rPr>
      </w:pPr>
      <w:r w:rsidRPr="0088760A">
        <w:rPr>
          <w:b/>
          <w:color w:val="FF0000"/>
          <w:sz w:val="52"/>
          <w:szCs w:val="52"/>
          <w:u w:val="single"/>
        </w:rPr>
        <w:t>Игра    «</w:t>
      </w:r>
      <w:hyperlink r:id="rId4" w:tgtFrame="_blank" w:history="1">
        <w:r w:rsidRPr="0088760A">
          <w:rPr>
            <w:b/>
            <w:color w:val="FF0000"/>
            <w:sz w:val="52"/>
            <w:szCs w:val="52"/>
            <w:u w:val="single"/>
          </w:rPr>
          <w:t>Сложи квадрат</w:t>
        </w:r>
      </w:hyperlink>
      <w:r w:rsidRPr="0088760A">
        <w:rPr>
          <w:b/>
          <w:color w:val="FF0000"/>
          <w:sz w:val="52"/>
          <w:szCs w:val="52"/>
          <w:u w:val="single"/>
        </w:rPr>
        <w:t>»</w:t>
      </w:r>
      <w:proofErr w:type="gramStart"/>
      <w:r w:rsidRPr="0088760A">
        <w:rPr>
          <w:b/>
          <w:color w:val="FF0000"/>
          <w:sz w:val="52"/>
          <w:szCs w:val="52"/>
          <w:u w:val="single"/>
        </w:rPr>
        <w:t> </w:t>
      </w:r>
      <w:r w:rsidRPr="0088760A">
        <w:rPr>
          <w:color w:val="000000"/>
          <w:sz w:val="52"/>
          <w:szCs w:val="52"/>
        </w:rPr>
        <w:t>.</w:t>
      </w:r>
      <w:proofErr w:type="gramEnd"/>
    </w:p>
    <w:p w:rsidR="0088760A" w:rsidRPr="0088760A" w:rsidRDefault="0088760A" w:rsidP="0088760A">
      <w:pPr>
        <w:pStyle w:val="a5"/>
        <w:shd w:val="clear" w:color="auto" w:fill="FFFFFF"/>
        <w:rPr>
          <w:color w:val="000000"/>
          <w:sz w:val="32"/>
          <w:szCs w:val="32"/>
        </w:rPr>
      </w:pPr>
      <w:r w:rsidRPr="0088760A">
        <w:rPr>
          <w:color w:val="000000"/>
          <w:sz w:val="32"/>
          <w:szCs w:val="32"/>
        </w:rPr>
        <w:t xml:space="preserve"> Из некоторого количества кусков разной формы и размера необходимо собрать квадрат. Элементы квадрата выполнены из плотного картона или фанеры.</w:t>
      </w:r>
    </w:p>
    <w:p w:rsidR="0088760A" w:rsidRPr="0088760A" w:rsidRDefault="0088760A" w:rsidP="008876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>В пособии Никитина -  три уровня сложности. Отличаются они, прежде всего, количеством элементов, из которых необходимо собрать квадрат.  Только самый простой вариант предлагает ребятам квадрат-образец. Самым маленьким игрокам, знакомящимся с пособием,  предлагается собрать квадрат всего из 2-3 элементов.  Каждый квадрат раскрашен в свой цвет, так малышу проще отыскивать подходящие элементы.</w:t>
      </w:r>
    </w:p>
    <w:p w:rsidR="0088760A" w:rsidRPr="0088760A" w:rsidRDefault="0088760A" w:rsidP="008876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>В классическом пособии ребенку необходимо собрать всего 24 квадрата со стороной 100 мм.</w:t>
      </w:r>
    </w:p>
    <w:p w:rsidR="0088760A" w:rsidRPr="0088760A" w:rsidRDefault="0088760A" w:rsidP="008876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>При первом знакомстве с пособием, внимательно рассмотрите все элементы этой своеобразной геометрической мозаики. Расскажите малышу об основных фигурах, с которыми он будет заниматься. Посчитайте с ним вместе углы и стороны у треугольника и квадрата, сравните различные фигуры между собой. Покажите малышу, что если сложить вместе два треугольника может получиться ромб. Так, в игровой форме малыш без труда запомнит основные свойства фигур и научится быстро различать их.</w:t>
      </w:r>
      <w:r w:rsidRPr="0088760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88760A" w:rsidRPr="0088760A" w:rsidRDefault="0088760A" w:rsidP="008876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>Если Вы начинаете играть в квадраты Никитина с совсем маленьким ребенком, можно первое занятие посвятить знакомству с цветом и попросить малыша рассортировать элементы пособия по цветам.</w:t>
      </w:r>
    </w:p>
    <w:p w:rsidR="0088760A" w:rsidRPr="0088760A" w:rsidRDefault="0088760A" w:rsidP="008876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>В игру</w:t>
      </w:r>
      <w:proofErr w:type="gramStart"/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hyperlink r:id="rId5" w:tgtFrame="_blank" w:history="1">
        <w:r w:rsidRPr="0088760A">
          <w:rPr>
            <w:rFonts w:ascii="Times New Roman" w:eastAsia="Times New Roman" w:hAnsi="Times New Roman" w:cs="Times New Roman"/>
            <w:color w:val="0059B8"/>
            <w:sz w:val="32"/>
            <w:szCs w:val="32"/>
          </w:rPr>
          <w:t>С</w:t>
        </w:r>
        <w:proofErr w:type="gramEnd"/>
        <w:r w:rsidRPr="0088760A">
          <w:rPr>
            <w:rFonts w:ascii="Times New Roman" w:eastAsia="Times New Roman" w:hAnsi="Times New Roman" w:cs="Times New Roman"/>
            <w:color w:val="0059B8"/>
            <w:sz w:val="32"/>
            <w:szCs w:val="32"/>
          </w:rPr>
          <w:t>ложи квадрат</w:t>
        </w:r>
      </w:hyperlink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> можно играть всей семьей. Простейшие задания можно предложить даже годовалому малышу, а некоторые головоломки заставят хорошенько подумать и родителей.</w:t>
      </w:r>
    </w:p>
    <w:p w:rsidR="0088760A" w:rsidRPr="0088760A" w:rsidRDefault="0088760A" w:rsidP="008876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>Свои рекомендации по работе с пособием Никитин оставил в эссе «Ступеньки творчества».</w:t>
      </w:r>
    </w:p>
    <w:p w:rsidR="0088760A" w:rsidRPr="0088760A" w:rsidRDefault="0088760A" w:rsidP="008876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>Но не стоит ограничиваться лишь описанием заданий, которые прилагаются в пособии.  Используйте фигурные элементы для развития творческих способностей малыша и попробуйте вместе с ним придумать новые интересные игры и задания. Пособие «Сложи квадрат» можно использовать в качестве методического материала для занятий счетом и решения простых арифметических задач и примеров.</w:t>
      </w:r>
    </w:p>
    <w:p w:rsidR="0088760A" w:rsidRPr="0088760A" w:rsidRDefault="0088760A" w:rsidP="008876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Можно при помощи пособия позаниматься и геометрией: предложите ребенку найти в наборе одинаковые геометрические фигуры, отыскать </w:t>
      </w: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трапецию и равнобедренный треугольник, попросите определить острые и тупые углы треугольника.</w:t>
      </w:r>
    </w:p>
    <w:p w:rsidR="0088760A" w:rsidRPr="0088760A" w:rsidRDefault="0088760A" w:rsidP="008876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При помощи элементов пособия можно также попробовать выкладывать разнообразные </w:t>
      </w:r>
      <w:proofErr w:type="gramStart"/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>фигуры</w:t>
      </w:r>
      <w:proofErr w:type="gramEnd"/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даже фантазийные рисунки. Можно договориться, что один из игроков будет из элементов этого своеобразного геометрического конструктора  выкладывать схематично какой-либо предмет, а другой будет пытаться угадать, что водящий задумал. </w:t>
      </w:r>
    </w:p>
    <w:p w:rsidR="0088760A" w:rsidRPr="0088760A" w:rsidRDefault="0088760A" w:rsidP="008876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>Из элементов пособия можно выкладывать логические цепочки. Предложите ребенку составить последовательность так, к примеру, чтобы каждый последующий элемент отличался от предыдущего по цвету или форме.</w:t>
      </w:r>
    </w:p>
    <w:p w:rsidR="0088760A" w:rsidRPr="0088760A" w:rsidRDefault="0088760A" w:rsidP="008876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>Если Ваш малыш уже успешно справляется со всеми заданиями, можно усложнить игру, перемешав вместе несколько наборов и предложить посостязаться: кто быстрее соберет на своем планшете все 6 квадратов. Можно завязать глаза плотными повязками и попробовать собрать элементы мозаики с завязанными глазами.</w:t>
      </w:r>
    </w:p>
    <w:p w:rsidR="0088760A" w:rsidRPr="0088760A" w:rsidRDefault="0088760A" w:rsidP="008876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>Занятия с пособием помогут развить сенсорные эталоны цвета и формы, познакомить ребенка с основными геометрическими фигурами и понятием величины.  Во время занятий происходит тренировка мелкой моторики рук, что способствует раннему развитию речи. Малыш на практике поймет, как части соотносятся с целым, научится выполнять сложное задание, разбивая его на несколько простых.  Игра в пособие способствует формированию аналитических способностей и умению синтезировать разрозненные элементы. Занятия с квадратами Никитина подстегивают развитие пространственного и логического мышления, смекалки, формируют математические и творческие способности.</w:t>
      </w:r>
    </w:p>
    <w:p w:rsidR="0088760A" w:rsidRPr="0088760A" w:rsidRDefault="0088760A" w:rsidP="008876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876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Уникальность и самобытность педагогического подхода Никитина состоит в том, что он дает ребенку развиваться в индивидуальном, приемлемом именно для него ритме, позволяет развить самостоятельность и без излишнего давления помогает раскрыться заложенным в малыше природой  способностям.   </w:t>
      </w:r>
    </w:p>
    <w:p w:rsidR="0088760A" w:rsidRDefault="0088760A" w:rsidP="0018336F">
      <w:pPr>
        <w:jc w:val="center"/>
        <w:rPr>
          <w:rFonts w:ascii="Arial" w:hAnsi="Arial" w:cs="Arial"/>
          <w:color w:val="FF0000"/>
          <w:sz w:val="72"/>
          <w:szCs w:val="72"/>
          <w:shd w:val="clear" w:color="auto" w:fill="FFFFFF"/>
        </w:rPr>
      </w:pPr>
    </w:p>
    <w:p w:rsidR="0088760A" w:rsidRDefault="0088760A" w:rsidP="0018336F">
      <w:pPr>
        <w:jc w:val="center"/>
        <w:rPr>
          <w:rFonts w:ascii="Arial" w:hAnsi="Arial" w:cs="Arial"/>
          <w:color w:val="FF0000"/>
          <w:sz w:val="72"/>
          <w:szCs w:val="72"/>
          <w:shd w:val="clear" w:color="auto" w:fill="FFFFFF"/>
        </w:rPr>
      </w:pPr>
    </w:p>
    <w:p w:rsidR="0018336F" w:rsidRDefault="0018336F" w:rsidP="0018336F">
      <w:pPr>
        <w:jc w:val="center"/>
        <w:rPr>
          <w:rFonts w:ascii="Arial" w:hAnsi="Arial" w:cs="Arial"/>
          <w:color w:val="FF0000"/>
          <w:sz w:val="72"/>
          <w:szCs w:val="72"/>
          <w:shd w:val="clear" w:color="auto" w:fill="FFFFFF"/>
        </w:rPr>
      </w:pPr>
      <w:r w:rsidRPr="0018336F">
        <w:rPr>
          <w:rFonts w:ascii="Arial" w:hAnsi="Arial" w:cs="Arial"/>
          <w:color w:val="FF0000"/>
          <w:sz w:val="72"/>
          <w:szCs w:val="72"/>
          <w:shd w:val="clear" w:color="auto" w:fill="FFFFFF"/>
        </w:rPr>
        <w:t>Сложи квадрат</w:t>
      </w:r>
      <w:r>
        <w:rPr>
          <w:noProof/>
        </w:rPr>
        <w:drawing>
          <wp:inline distT="0" distB="0" distL="0" distR="0">
            <wp:extent cx="6838950" cy="4818076"/>
            <wp:effectExtent l="19050" t="0" r="0" b="0"/>
            <wp:docPr id="4" name="Рисунок 4" descr="Сложи квадрат 3, Грат (игры Никитина, оргал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ожи квадрат 3, Грат (игры Никитина, оргалит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85" b="2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81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5FA" w:rsidRPr="005A55FA">
        <w:rPr>
          <w:rFonts w:ascii="Arial" w:hAnsi="Arial" w:cs="Arial"/>
          <w:noProof/>
          <w:color w:val="FF0000"/>
          <w:sz w:val="72"/>
          <w:szCs w:val="72"/>
          <w:shd w:val="clear" w:color="auto" w:fill="FFFFFF"/>
        </w:rPr>
        <w:drawing>
          <wp:inline distT="0" distB="0" distL="0" distR="0">
            <wp:extent cx="2293844" cy="2236456"/>
            <wp:effectExtent l="19050" t="0" r="0" b="0"/>
            <wp:docPr id="3" name="Рисунок 16" descr="http://www.rebenok.com/img/477_4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ebenok.com/img/477_400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44" cy="2239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36F" w:rsidRPr="0088760A" w:rsidRDefault="0018336F" w:rsidP="0088760A">
      <w:pPr>
        <w:pStyle w:val="a5"/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6935101" cy="9574306"/>
            <wp:effectExtent l="19050" t="0" r="0" b="0"/>
            <wp:docPr id="13" name="Рисунок 13" descr="http://www.rebenok.com/img/477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ebenok.com/img/477_4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027" cy="957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542579" cy="9749118"/>
            <wp:effectExtent l="19050" t="0" r="0" b="0"/>
            <wp:docPr id="19" name="Рисунок 19" descr="Сложи квадрат 3, Оксва (игры Никитина, дерев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ложи квадрат 3, Оксва (игры Никитина, дерево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579" cy="9749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760A">
        <w:rPr>
          <w:color w:val="000000"/>
          <w:sz w:val="32"/>
          <w:szCs w:val="32"/>
        </w:rPr>
        <w:t xml:space="preserve"> </w:t>
      </w:r>
    </w:p>
    <w:p w:rsidR="0018336F" w:rsidRDefault="005A55FA" w:rsidP="0018336F">
      <w:r>
        <w:rPr>
          <w:noProof/>
        </w:rPr>
        <w:drawing>
          <wp:inline distT="0" distB="0" distL="0" distR="0">
            <wp:extent cx="6817659" cy="10102372"/>
            <wp:effectExtent l="19050" t="0" r="2241" b="0"/>
            <wp:docPr id="22" name="Рисунок 22" descr="http://www.baby2000.ru/img/razvivaika/sl_k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baby2000.ru/img/razvivaika/sl_kv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730" cy="101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956414" cy="10004612"/>
            <wp:effectExtent l="19050" t="0" r="0" b="0"/>
            <wp:docPr id="25" name="Рисунок 25" descr="http://www.baby2000.ru/img/razvivaika/sl_k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baby2000.ru/img/razvivaika/sl_kv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927" cy="1000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078069" cy="10004612"/>
            <wp:effectExtent l="19050" t="0" r="8531" b="0"/>
            <wp:docPr id="28" name="Рисунок 28" descr="http://ja-rastu.ru/uploads/posts/2012-01/1326279460_ck25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ja-rastu.ru/uploads/posts/2012-01/1326279460_ck25-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591" cy="10025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336F" w:rsidSect="0088760A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savePreviewPicture/>
  <w:compat>
    <w:useFELayout/>
  </w:compat>
  <w:rsids>
    <w:rsidRoot w:val="0018336F"/>
    <w:rsid w:val="00077595"/>
    <w:rsid w:val="0018336F"/>
    <w:rsid w:val="00280BA9"/>
    <w:rsid w:val="00326259"/>
    <w:rsid w:val="005A55FA"/>
    <w:rsid w:val="0088760A"/>
    <w:rsid w:val="00C1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3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8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8336F"/>
  </w:style>
  <w:style w:type="character" w:styleId="a6">
    <w:name w:val="Hyperlink"/>
    <w:basedOn w:val="a0"/>
    <w:uiPriority w:val="99"/>
    <w:semiHidden/>
    <w:unhideWhenUsed/>
    <w:rsid w:val="001833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rebenok.com/catalog/1058/1080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://www.rebenok.com/catalog/1058/1080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6</cp:revision>
  <dcterms:created xsi:type="dcterms:W3CDTF">2014-11-01T19:04:00Z</dcterms:created>
  <dcterms:modified xsi:type="dcterms:W3CDTF">2018-09-04T15:54:00Z</dcterms:modified>
</cp:coreProperties>
</file>